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739" w:rsidRPr="009F2140" w:rsidRDefault="009029CA" w:rsidP="009029C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NOTĂ INFORMATIVĂ</w:t>
      </w:r>
    </w:p>
    <w:p w:rsidR="009C0969" w:rsidRDefault="00CA379A" w:rsidP="009C0969">
      <w:pPr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proiectul de decizie </w:t>
      </w:r>
      <w:r w:rsidRPr="00900030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Cu </w:t>
      </w:r>
      <w:proofErr w:type="spellStart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privire</w:t>
      </w:r>
      <w:proofErr w:type="spellEnd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la </w:t>
      </w:r>
      <w:proofErr w:type="spellStart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aplicarea</w:t>
      </w:r>
      <w:proofErr w:type="spellEnd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proiectului</w:t>
      </w:r>
      <w:proofErr w:type="spellEnd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cadrul</w:t>
      </w:r>
      <w:proofErr w:type="spellEnd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CA379A" w:rsidRPr="00900030" w:rsidRDefault="009C0969" w:rsidP="009C096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Programului</w:t>
      </w:r>
      <w:proofErr w:type="spellEnd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Interreg</w:t>
      </w:r>
      <w:proofErr w:type="spellEnd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Europe</w:t>
      </w:r>
      <w:r w:rsidRPr="006124B0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</w:p>
    <w:p w:rsidR="009029CA" w:rsidRPr="009F2140" w:rsidRDefault="009029CA" w:rsidP="009029C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21AAF" w:rsidRPr="009F2140" w:rsidRDefault="00F21AAF" w:rsidP="008D55CB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Condiţiile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ce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au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impus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elaborarea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proiectului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decizie</w:t>
      </w:r>
      <w:proofErr w:type="spellEnd"/>
    </w:p>
    <w:p w:rsidR="008D55CB" w:rsidRPr="009F2140" w:rsidRDefault="00F21AAF" w:rsidP="008D55CB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conformitate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cu art.43(1) b) al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nr.436-XVI din 28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decembrie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2006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administra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publică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locală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Legea</w:t>
      </w:r>
      <w:proofErr w:type="spellEnd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nr.397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-XV din 16 </w:t>
      </w:r>
      <w:proofErr w:type="spellStart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octombrie</w:t>
      </w:r>
      <w:proofErr w:type="spellEnd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2003 </w:t>
      </w:r>
      <w:proofErr w:type="spellStart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finan</w:t>
      </w:r>
      <w:r w:rsidRPr="00F21AAF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ele</w:t>
      </w:r>
      <w:proofErr w:type="spellEnd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publice</w:t>
      </w:r>
      <w:proofErr w:type="spellEnd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locale,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F21AAF" w:rsidRPr="00F21AAF" w:rsidRDefault="008D55CB" w:rsidP="006D5755">
      <w:pPr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având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vedere</w:t>
      </w:r>
      <w:proofErr w:type="spellEnd"/>
      <w:r w:rsid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</w:t>
      </w:r>
      <w:r w:rsidR="00CA379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ă, </w:t>
      </w:r>
      <w:r w:rsidR="006D575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la </w:t>
      </w:r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20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martie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2024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pînă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la 7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iunie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2024,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lansat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Apelul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3 de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proiecte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restricționat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proiecte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5755" w:rsidRPr="00900030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6D5755" w:rsidRPr="0090003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D5755">
        <w:rPr>
          <w:rFonts w:ascii="Times New Roman" w:hAnsi="Times New Roman" w:cs="Times New Roman"/>
          <w:bCs/>
          <w:sz w:val="24"/>
          <w:szCs w:val="24"/>
          <w:lang w:val="en-US"/>
        </w:rPr>
        <w:t>Europe</w:t>
      </w:r>
      <w:r w:rsid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ţinând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cont de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importanţa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dezvoltării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şi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consolidării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relaţiilor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parteneriat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şi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colaborare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trans</w:t>
      </w:r>
      <w:r w:rsidR="006D5755">
        <w:rPr>
          <w:rFonts w:ascii="Times New Roman" w:hAnsi="Times New Roman" w:cs="Times New Roman"/>
          <w:bCs/>
          <w:sz w:val="24"/>
          <w:szCs w:val="24"/>
          <w:lang w:val="en-US"/>
        </w:rPr>
        <w:t>națională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Centrul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Resurse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şi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Atragerea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Investiţiilor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F21AAF"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 </w:t>
      </w:r>
      <w:proofErr w:type="spellStart"/>
      <w:r w:rsidR="00F21AAF"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Consiliului</w:t>
      </w:r>
      <w:proofErr w:type="spellEnd"/>
      <w:r w:rsidR="00F21AAF"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Raional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elaborat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proofErr w:type="gram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CA379A" w:rsidRPr="00CA37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proofErr w:type="gram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Cu </w:t>
      </w:r>
      <w:proofErr w:type="spellStart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privire</w:t>
      </w:r>
      <w:proofErr w:type="spell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la </w:t>
      </w:r>
      <w:proofErr w:type="spellStart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aplicarea</w:t>
      </w:r>
      <w:proofErr w:type="spell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proiectului</w:t>
      </w:r>
      <w:proofErr w:type="spell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cadrul</w:t>
      </w:r>
      <w:proofErr w:type="spell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Programului</w:t>
      </w:r>
      <w:proofErr w:type="spell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Europe</w:t>
      </w:r>
      <w:r w:rsidR="00CA379A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”</w:t>
      </w:r>
      <w:r w:rsidR="00005627" w:rsidRPr="00CA379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1AAF" w:rsidRPr="00F21AAF" w:rsidRDefault="00005627" w:rsidP="00CA379A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755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6D575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8D55CB" w:rsidRPr="006D5755">
        <w:rPr>
          <w:rFonts w:ascii="Times New Roman" w:hAnsi="Times New Roman" w:cs="Times New Roman"/>
          <w:sz w:val="24"/>
          <w:szCs w:val="24"/>
          <w:lang w:val="en-US"/>
        </w:rPr>
        <w:t>accept</w:t>
      </w:r>
      <w:r w:rsidR="00BA37C1" w:rsidRPr="006D5755">
        <w:rPr>
          <w:rFonts w:ascii="Times New Roman" w:hAnsi="Times New Roman" w:cs="Times New Roman"/>
          <w:sz w:val="24"/>
          <w:szCs w:val="24"/>
          <w:lang w:val="en-US"/>
        </w:rPr>
        <w:t>area</w:t>
      </w:r>
      <w:proofErr w:type="spellEnd"/>
      <w:r w:rsidR="008D55CB" w:rsidRP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 w:rsidRPr="006D5755">
        <w:rPr>
          <w:rFonts w:ascii="Times New Roman" w:hAnsi="Times New Roman" w:cs="Times New Roman"/>
          <w:sz w:val="24"/>
          <w:szCs w:val="24"/>
          <w:lang w:val="en-US"/>
        </w:rPr>
        <w:t>aplicării</w:t>
      </w:r>
      <w:proofErr w:type="spellEnd"/>
      <w:r w:rsidR="008D55CB" w:rsidRP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8D55CB" w:rsidRPr="006D5755">
        <w:rPr>
          <w:rFonts w:ascii="Times New Roman" w:hAnsi="Times New Roman" w:cs="Times New Roman"/>
          <w:sz w:val="24"/>
          <w:szCs w:val="24"/>
          <w:lang w:val="en-US"/>
        </w:rPr>
        <w:t>proiect</w:t>
      </w:r>
      <w:r w:rsidR="00782FEE" w:rsidRPr="006D5755">
        <w:rPr>
          <w:rFonts w:ascii="Times New Roman" w:hAnsi="Times New Roman" w:cs="Times New Roman"/>
          <w:sz w:val="24"/>
          <w:szCs w:val="24"/>
          <w:lang w:val="en-US"/>
        </w:rPr>
        <w:t>ului</w:t>
      </w:r>
      <w:proofErr w:type="spellEnd"/>
      <w:r w:rsidR="008D55CB" w:rsidRP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E3A54">
        <w:rPr>
          <w:rFonts w:ascii="Times New Roman" w:hAnsi="Times New Roman" w:cs="Times New Roman"/>
          <w:sz w:val="24"/>
          <w:szCs w:val="24"/>
          <w:lang w:val="en-US"/>
        </w:rPr>
        <w:t>”</w:t>
      </w:r>
      <w:proofErr w:type="spellStart"/>
      <w:proofErr w:type="gramEnd"/>
      <w:r w:rsidR="006D5755" w:rsidRPr="006D5755">
        <w:rPr>
          <w:rFonts w:ascii="Times New Roman" w:hAnsi="Times New Roman" w:cs="Times New Roman"/>
          <w:sz w:val="24"/>
          <w:szCs w:val="24"/>
          <w:lang w:val="en-US"/>
        </w:rPr>
        <w:t>MILEstone</w:t>
      </w:r>
      <w:proofErr w:type="spellEnd"/>
      <w:r w:rsidR="006D5755" w:rsidRPr="006D575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6D5755" w:rsidRPr="006D5755">
        <w:rPr>
          <w:rFonts w:ascii="Times New Roman" w:hAnsi="Times New Roman" w:cs="Times New Roman"/>
          <w:sz w:val="24"/>
          <w:szCs w:val="24"/>
          <w:lang w:val="en-US"/>
        </w:rPr>
        <w:t>Migrants‘ Integration</w:t>
      </w:r>
      <w:proofErr w:type="gramEnd"/>
      <w:r w:rsidR="006D5755" w:rsidRPr="006D5755">
        <w:rPr>
          <w:rFonts w:ascii="Times New Roman" w:hAnsi="Times New Roman" w:cs="Times New Roman"/>
          <w:sz w:val="24"/>
          <w:szCs w:val="24"/>
          <w:lang w:val="en-US"/>
        </w:rPr>
        <w:t xml:space="preserve"> in Local Economies: Sustainable resilience and winter disaster risk prevention through community-based approach”</w:t>
      </w:r>
      <w:r w:rsidR="006D5755" w:rsidRPr="006D5755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(</w:t>
      </w:r>
      <w:proofErr w:type="spellStart"/>
      <w:r w:rsidR="006D5755" w:rsidRPr="006D5755">
        <w:rPr>
          <w:rStyle w:val="rynqvb"/>
          <w:rFonts w:ascii="Times New Roman" w:hAnsi="Times New Roman" w:cs="Times New Roman"/>
          <w:sz w:val="24"/>
          <w:szCs w:val="24"/>
          <w:lang w:val="ro-RO"/>
        </w:rPr>
        <w:t>MILEstone</w:t>
      </w:r>
      <w:proofErr w:type="spellEnd"/>
      <w:r w:rsidR="006D5755" w:rsidRPr="006D5755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. Integrarea </w:t>
      </w:r>
      <w:proofErr w:type="spellStart"/>
      <w:r w:rsidR="006D5755" w:rsidRPr="006D5755">
        <w:rPr>
          <w:rStyle w:val="rynqvb"/>
          <w:rFonts w:ascii="Times New Roman" w:hAnsi="Times New Roman" w:cs="Times New Roman"/>
          <w:sz w:val="24"/>
          <w:szCs w:val="24"/>
          <w:lang w:val="ro-RO"/>
        </w:rPr>
        <w:t>migranților</w:t>
      </w:r>
      <w:proofErr w:type="spellEnd"/>
      <w:r w:rsidR="006D5755" w:rsidRPr="006D5755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în economiile locale</w:t>
      </w:r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="00782FEE" w:rsidRPr="006D57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la </w:t>
      </w:r>
      <w:proofErr w:type="spellStart"/>
      <w:r w:rsidR="00782FEE" w:rsidRPr="006D57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Apelul</w:t>
      </w:r>
      <w:proofErr w:type="spellEnd"/>
      <w:r w:rsidR="00782FEE" w:rsidRPr="006D57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D57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3 </w:t>
      </w:r>
      <w:proofErr w:type="spellStart"/>
      <w:r w:rsidR="006D57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restricționat</w:t>
      </w:r>
      <w:proofErr w:type="spellEnd"/>
      <w:r w:rsidR="006D57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782FEE" w:rsidRPr="006D57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de </w:t>
      </w:r>
      <w:proofErr w:type="spellStart"/>
      <w:r w:rsidR="00782FEE" w:rsidRPr="006D57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proiecte</w:t>
      </w:r>
      <w:proofErr w:type="spellEnd"/>
      <w:r w:rsidR="00782FEE" w:rsidRPr="006D57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782FEE" w:rsidRPr="006D5755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82FEE" w:rsidRP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2FEE" w:rsidRPr="006D5755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="00782FEE" w:rsidRP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2FEE" w:rsidRPr="006D5755"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 w:rsidR="00782FEE" w:rsidRP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2FE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782FE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D5755">
        <w:rPr>
          <w:rFonts w:ascii="Times New Roman" w:hAnsi="Times New Roman" w:cs="Times New Roman"/>
          <w:bCs/>
          <w:sz w:val="24"/>
          <w:szCs w:val="24"/>
          <w:lang w:val="en-US"/>
        </w:rPr>
        <w:t>Europe</w:t>
      </w:r>
      <w:r w:rsidR="00782FEE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F21AAF" w:rsidRPr="009F2140" w:rsidRDefault="008D55CB" w:rsidP="00D731C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2.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Conformitatea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proiectului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cu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actele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normative </w:t>
      </w:r>
      <w:proofErr w:type="spellStart"/>
      <w:r w:rsidRPr="009F2140">
        <w:rPr>
          <w:rFonts w:ascii="Times New Roman" w:cs="Times New Roman"/>
          <w:b/>
          <w:sz w:val="24"/>
          <w:szCs w:val="24"/>
          <w:lang w:val="en-US"/>
        </w:rPr>
        <w:t>ș</w:t>
      </w:r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legislative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în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vigoare</w:t>
      </w:r>
      <w:proofErr w:type="spellEnd"/>
    </w:p>
    <w:p w:rsidR="004B762B" w:rsidRPr="009F2140" w:rsidRDefault="004B762B" w:rsidP="00D731C3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respectă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prevederile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actelor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normative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legislative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actuale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este</w:t>
      </w:r>
      <w:proofErr w:type="spellEnd"/>
      <w:proofErr w:type="gram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elaborat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vederea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implementării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 239 din 13.11.2008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transparen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procesul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D731C3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ional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 100 din 22.12.2017 cu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actele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normative.</w:t>
      </w:r>
    </w:p>
    <w:p w:rsidR="00D731C3" w:rsidRPr="009F2140" w:rsidRDefault="00D731C3" w:rsidP="00D731C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3.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Principalele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prevederi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,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evidenţierea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elementelor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noi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</w:p>
    <w:p w:rsidR="00BC4DF8" w:rsidRPr="009F2140" w:rsidRDefault="00BC4DF8" w:rsidP="007A51A9">
      <w:pPr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Legile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care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reglementează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domeniul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vizat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:</w:t>
      </w:r>
      <w:r w:rsidR="00FE3A54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Legea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nr.436-XVI din 28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decembrie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2006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administra</w:t>
      </w:r>
      <w:r w:rsidRPr="009F2140">
        <w:rPr>
          <w:rFonts w:ascii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ia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publică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locală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Legea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nr.397-XV din 16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octombrie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2003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finan</w:t>
      </w:r>
      <w:r w:rsidRPr="009F2140">
        <w:rPr>
          <w:rFonts w:ascii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ele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publice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locale</w:t>
      </w:r>
    </w:p>
    <w:p w:rsidR="00BC4DF8" w:rsidRPr="009F2140" w:rsidRDefault="00BC4DF8" w:rsidP="007A51A9">
      <w:pPr>
        <w:jc w:val="both"/>
        <w:rPr>
          <w:rFonts w:ascii="Times New Roman" w:hAnsi="Times New Roman" w:cs="Times New Roman"/>
          <w:sz w:val="24"/>
          <w:szCs w:val="24"/>
          <w:lang w:val="ro-RO" w:eastAsia="ru-RU"/>
        </w:rPr>
      </w:pPr>
      <w:r w:rsidRPr="009F2140">
        <w:rPr>
          <w:rFonts w:ascii="Times New Roman" w:hAnsi="Times New Roman" w:cs="Times New Roman"/>
          <w:sz w:val="24"/>
          <w:szCs w:val="24"/>
          <w:lang w:val="ro-RO" w:eastAsia="ru-RU"/>
        </w:rPr>
        <w:t xml:space="preserve">Urmare a </w:t>
      </w:r>
      <w:proofErr w:type="spellStart"/>
      <w:r w:rsidR="00CA379A" w:rsidRPr="009F2140"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="00CA379A"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E3A54">
        <w:rPr>
          <w:rFonts w:ascii="Times New Roman" w:hAnsi="Times New Roman" w:cs="Times New Roman"/>
          <w:sz w:val="24"/>
          <w:szCs w:val="24"/>
          <w:lang w:val="en-US"/>
        </w:rPr>
        <w:t>”</w:t>
      </w:r>
      <w:proofErr w:type="spellStart"/>
      <w:r w:rsidR="00FE3A54" w:rsidRPr="006D5755">
        <w:rPr>
          <w:rFonts w:ascii="Times New Roman" w:hAnsi="Times New Roman" w:cs="Times New Roman"/>
          <w:sz w:val="24"/>
          <w:szCs w:val="24"/>
          <w:lang w:val="en-US"/>
        </w:rPr>
        <w:t>MILEstone</w:t>
      </w:r>
      <w:proofErr w:type="spellEnd"/>
      <w:r w:rsidR="00FE3A54" w:rsidRPr="006D575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FE3A54" w:rsidRPr="006D5755">
        <w:rPr>
          <w:rFonts w:ascii="Times New Roman" w:hAnsi="Times New Roman" w:cs="Times New Roman"/>
          <w:sz w:val="24"/>
          <w:szCs w:val="24"/>
          <w:lang w:val="en-US"/>
        </w:rPr>
        <w:t>Migrants‘ Integration</w:t>
      </w:r>
      <w:proofErr w:type="gramEnd"/>
      <w:r w:rsidR="00FE3A54" w:rsidRPr="006D5755">
        <w:rPr>
          <w:rFonts w:ascii="Times New Roman" w:hAnsi="Times New Roman" w:cs="Times New Roman"/>
          <w:sz w:val="24"/>
          <w:szCs w:val="24"/>
          <w:lang w:val="en-US"/>
        </w:rPr>
        <w:t xml:space="preserve"> in Local Economies: Sustainable resilience and winter disaster risk prevention through community-based approach”</w:t>
      </w:r>
      <w:r w:rsidR="00FE3A54" w:rsidRPr="006D5755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(</w:t>
      </w:r>
      <w:proofErr w:type="spellStart"/>
      <w:r w:rsidR="00FE3A54" w:rsidRPr="006D5755">
        <w:rPr>
          <w:rStyle w:val="rynqvb"/>
          <w:rFonts w:ascii="Times New Roman" w:hAnsi="Times New Roman" w:cs="Times New Roman"/>
          <w:sz w:val="24"/>
          <w:szCs w:val="24"/>
          <w:lang w:val="ro-RO"/>
        </w:rPr>
        <w:t>MILEstone</w:t>
      </w:r>
      <w:proofErr w:type="spellEnd"/>
      <w:r w:rsidR="00FE3A54" w:rsidRPr="006D5755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. Integrarea </w:t>
      </w:r>
      <w:proofErr w:type="spellStart"/>
      <w:r w:rsidR="00FE3A54" w:rsidRPr="006D5755">
        <w:rPr>
          <w:rStyle w:val="rynqvb"/>
          <w:rFonts w:ascii="Times New Roman" w:hAnsi="Times New Roman" w:cs="Times New Roman"/>
          <w:sz w:val="24"/>
          <w:szCs w:val="24"/>
          <w:lang w:val="ro-RO"/>
        </w:rPr>
        <w:t>migranților</w:t>
      </w:r>
      <w:proofErr w:type="spellEnd"/>
      <w:r w:rsidR="00FE3A54" w:rsidRPr="006D5755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în economiile locale</w:t>
      </w:r>
      <w:r w:rsidR="00FE3A54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putea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atrase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raionul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investiții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UE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valoare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aproximativ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E3A54">
        <w:rPr>
          <w:rFonts w:ascii="Times New Roman" w:hAnsi="Times New Roman" w:cs="Times New Roman"/>
          <w:sz w:val="24"/>
          <w:szCs w:val="24"/>
          <w:lang w:val="en-US"/>
        </w:rPr>
        <w:t>75000</w:t>
      </w:r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Euro.</w:t>
      </w:r>
      <w:r w:rsidR="00AF4E0E"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:rsidR="007A51A9" w:rsidRPr="009F2140" w:rsidRDefault="007A51A9" w:rsidP="009F2140">
      <w:pPr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4.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Fundamentarea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economico-financiară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cazul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care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realizarea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noilor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reglementări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necesită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cheltuieli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financiare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şi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proofErr w:type="gram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altă</w:t>
      </w:r>
      <w:proofErr w:type="spellEnd"/>
      <w:proofErr w:type="gram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natură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.</w:t>
      </w:r>
    </w:p>
    <w:p w:rsidR="00CA379A" w:rsidRDefault="007A51A9" w:rsidP="00CA379A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9F2140">
        <w:rPr>
          <w:rFonts w:ascii="Times New Roman" w:eastAsia="Calibri" w:hAnsi="Times New Roman" w:cs="Times New Roman"/>
          <w:sz w:val="24"/>
          <w:szCs w:val="24"/>
          <w:lang w:val="ro-MO"/>
        </w:rPr>
        <w:t xml:space="preserve">Proiectul de decizie prevede acceptarea </w:t>
      </w:r>
      <w:r w:rsidR="00CA379A">
        <w:rPr>
          <w:rFonts w:ascii="Times New Roman" w:eastAsia="Calibri" w:hAnsi="Times New Roman" w:cs="Times New Roman"/>
          <w:sz w:val="24"/>
          <w:szCs w:val="24"/>
          <w:lang w:val="ro-MO"/>
        </w:rPr>
        <w:t xml:space="preserve">aplicării, de către Consiliul Raional Ungheni, în parteneriat cu </w:t>
      </w:r>
      <w:r w:rsidR="009D330D" w:rsidRPr="00AD3F38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Districtul </w:t>
      </w:r>
      <w:proofErr w:type="spellStart"/>
      <w:r w:rsidR="009D330D" w:rsidRPr="00AD3F38">
        <w:rPr>
          <w:rStyle w:val="rynqvb"/>
          <w:rFonts w:ascii="Times New Roman" w:hAnsi="Times New Roman" w:cs="Times New Roman"/>
          <w:sz w:val="24"/>
          <w:szCs w:val="24"/>
          <w:lang w:val="ro-RO"/>
        </w:rPr>
        <w:t>Burgenlandkreis</w:t>
      </w:r>
      <w:proofErr w:type="spellEnd"/>
      <w:r w:rsidR="009D330D" w:rsidRPr="00AD3F38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, Germania </w:t>
      </w:r>
      <w:r w:rsidR="00CA379A">
        <w:rPr>
          <w:rFonts w:ascii="Times New Roman" w:eastAsia="Calibri" w:hAnsi="Times New Roman" w:cs="Times New Roman"/>
          <w:sz w:val="24"/>
          <w:szCs w:val="24"/>
          <w:lang w:val="ro-MO"/>
        </w:rPr>
        <w:t xml:space="preserve">la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Apelul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D330D">
        <w:rPr>
          <w:rFonts w:ascii="Times New Roman" w:hAnsi="Times New Roman" w:cs="Times New Roman"/>
          <w:sz w:val="24"/>
          <w:szCs w:val="24"/>
          <w:lang w:val="en-US"/>
        </w:rPr>
        <w:t xml:space="preserve">3 </w:t>
      </w:r>
      <w:proofErr w:type="spellStart"/>
      <w:r w:rsidR="009D330D">
        <w:rPr>
          <w:rFonts w:ascii="Times New Roman" w:hAnsi="Times New Roman" w:cs="Times New Roman"/>
          <w:sz w:val="24"/>
          <w:szCs w:val="24"/>
          <w:lang w:val="en-US"/>
        </w:rPr>
        <w:t>restricționat</w:t>
      </w:r>
      <w:proofErr w:type="spellEnd"/>
      <w:r w:rsidR="009D33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proiecte</w:t>
      </w:r>
      <w:proofErr w:type="spellEnd"/>
      <w:r w:rsidR="00782F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 w:rsidRPr="00900030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CA379A" w:rsidRPr="0090003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D330D">
        <w:rPr>
          <w:rFonts w:ascii="Times New Roman" w:hAnsi="Times New Roman" w:cs="Times New Roman"/>
          <w:bCs/>
          <w:sz w:val="24"/>
          <w:szCs w:val="24"/>
          <w:lang w:val="en-US"/>
        </w:rPr>
        <w:t>Europe</w:t>
      </w:r>
      <w:r w:rsidRPr="009F2140">
        <w:rPr>
          <w:rFonts w:ascii="Times New Roman" w:eastAsia="Calibri" w:hAnsi="Times New Roman" w:cs="Times New Roman"/>
          <w:sz w:val="24"/>
          <w:szCs w:val="24"/>
          <w:lang w:val="ro-MO"/>
        </w:rPr>
        <w:t xml:space="preserve"> a proiectului </w:t>
      </w:r>
      <w:r w:rsidR="0038403D">
        <w:rPr>
          <w:rFonts w:ascii="Times New Roman" w:hAnsi="Times New Roman" w:cs="Times New Roman"/>
          <w:sz w:val="24"/>
          <w:szCs w:val="24"/>
          <w:lang w:val="en-US"/>
        </w:rPr>
        <w:t>”</w:t>
      </w:r>
      <w:proofErr w:type="spellStart"/>
      <w:r w:rsidR="0038403D" w:rsidRPr="006D5755">
        <w:rPr>
          <w:rFonts w:ascii="Times New Roman" w:hAnsi="Times New Roman" w:cs="Times New Roman"/>
          <w:sz w:val="24"/>
          <w:szCs w:val="24"/>
          <w:lang w:val="en-US"/>
        </w:rPr>
        <w:t>MILEstone</w:t>
      </w:r>
      <w:proofErr w:type="spellEnd"/>
      <w:r w:rsidR="0038403D" w:rsidRPr="006D575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38403D" w:rsidRPr="006D5755">
        <w:rPr>
          <w:rFonts w:ascii="Times New Roman" w:hAnsi="Times New Roman" w:cs="Times New Roman"/>
          <w:sz w:val="24"/>
          <w:szCs w:val="24"/>
          <w:lang w:val="en-US"/>
        </w:rPr>
        <w:t>Migrants‘ Integration</w:t>
      </w:r>
      <w:proofErr w:type="gramEnd"/>
      <w:r w:rsidR="0038403D" w:rsidRPr="006D5755">
        <w:rPr>
          <w:rFonts w:ascii="Times New Roman" w:hAnsi="Times New Roman" w:cs="Times New Roman"/>
          <w:sz w:val="24"/>
          <w:szCs w:val="24"/>
          <w:lang w:val="en-US"/>
        </w:rPr>
        <w:t xml:space="preserve"> in Local Economies: Sustainable resilience and winter disaster risk prevention through community-based approach”</w:t>
      </w:r>
      <w:r w:rsidR="0038403D" w:rsidRPr="006D5755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(</w:t>
      </w:r>
      <w:proofErr w:type="spellStart"/>
      <w:r w:rsidR="0038403D" w:rsidRPr="006D5755">
        <w:rPr>
          <w:rStyle w:val="rynqvb"/>
          <w:rFonts w:ascii="Times New Roman" w:hAnsi="Times New Roman" w:cs="Times New Roman"/>
          <w:sz w:val="24"/>
          <w:szCs w:val="24"/>
          <w:lang w:val="ro-RO"/>
        </w:rPr>
        <w:t>MILEstone</w:t>
      </w:r>
      <w:proofErr w:type="spellEnd"/>
      <w:r w:rsidR="0038403D" w:rsidRPr="006D5755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. Integrarea </w:t>
      </w:r>
      <w:proofErr w:type="spellStart"/>
      <w:r w:rsidR="0038403D" w:rsidRPr="006D5755">
        <w:rPr>
          <w:rStyle w:val="rynqvb"/>
          <w:rFonts w:ascii="Times New Roman" w:hAnsi="Times New Roman" w:cs="Times New Roman"/>
          <w:sz w:val="24"/>
          <w:szCs w:val="24"/>
          <w:lang w:val="ro-RO"/>
        </w:rPr>
        <w:t>migranților</w:t>
      </w:r>
      <w:proofErr w:type="spellEnd"/>
      <w:r w:rsidR="0038403D" w:rsidRPr="006D5755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în economiile locale</w:t>
      </w:r>
      <w:r w:rsidR="0038403D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="00CA379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.</w:t>
      </w:r>
    </w:p>
    <w:p w:rsidR="007A51A9" w:rsidRPr="009C67AE" w:rsidRDefault="007A51A9" w:rsidP="009C67AE">
      <w:pPr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spellStart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lastRenderedPageBreak/>
        <w:t>Astfel</w:t>
      </w:r>
      <w:proofErr w:type="spellEnd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beneficiul</w:t>
      </w:r>
      <w:proofErr w:type="spellEnd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economico</w:t>
      </w:r>
      <w:proofErr w:type="spellEnd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- </w:t>
      </w:r>
      <w:proofErr w:type="spellStart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financiar</w:t>
      </w:r>
      <w:proofErr w:type="spellEnd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viitor</w:t>
      </w:r>
      <w:proofErr w:type="spellEnd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fiind</w:t>
      </w:r>
      <w:proofErr w:type="spellEnd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="00782FE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aproximativ</w:t>
      </w:r>
      <w:proofErr w:type="spellEnd"/>
      <w:r w:rsidR="00782FE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="00C502B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75000</w:t>
      </w:r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euro –</w:t>
      </w:r>
      <w:proofErr w:type="spellStart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investiții</w:t>
      </w:r>
      <w:proofErr w:type="spellEnd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UE </w:t>
      </w:r>
      <w:proofErr w:type="spellStart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atrase</w:t>
      </w:r>
      <w:proofErr w:type="spellEnd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în</w:t>
      </w:r>
      <w:proofErr w:type="spellEnd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raionul</w:t>
      </w:r>
      <w:proofErr w:type="spellEnd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Ungheni</w:t>
      </w:r>
      <w:proofErr w:type="spellEnd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>îmbunătăţirea</w:t>
      </w:r>
      <w:proofErr w:type="spellEnd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>instrumentului</w:t>
      </w:r>
      <w:proofErr w:type="spellEnd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>politică</w:t>
      </w:r>
      <w:proofErr w:type="spellEnd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>planificare</w:t>
      </w:r>
      <w:proofErr w:type="spellEnd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>strategic</w:t>
      </w:r>
      <w:r w:rsidR="009C67AE">
        <w:rPr>
          <w:rFonts w:ascii="Times New Roman" w:hAnsi="Times New Roman" w:cs="Times New Roman"/>
          <w:sz w:val="24"/>
          <w:szCs w:val="24"/>
          <w:lang w:val="en-US"/>
        </w:rPr>
        <w:t>ă</w:t>
      </w:r>
      <w:proofErr w:type="spellEnd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>cât</w:t>
      </w:r>
      <w:proofErr w:type="spellEnd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>crearea</w:t>
      </w:r>
      <w:proofErr w:type="spellEnd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>mediului</w:t>
      </w:r>
      <w:proofErr w:type="spellEnd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>propice</w:t>
      </w:r>
      <w:proofErr w:type="spellEnd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>integrarea</w:t>
      </w:r>
      <w:proofErr w:type="spellEnd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>migrantilor</w:t>
      </w:r>
      <w:proofErr w:type="spellEnd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>cîmpul</w:t>
      </w:r>
      <w:proofErr w:type="spellEnd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>muncii</w:t>
      </w:r>
      <w:proofErr w:type="spellEnd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>beneficiarii</w:t>
      </w:r>
      <w:proofErr w:type="spellEnd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>finali</w:t>
      </w:r>
      <w:proofErr w:type="spellEnd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>cetăţenii</w:t>
      </w:r>
      <w:proofErr w:type="spellEnd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>locuitori</w:t>
      </w:r>
      <w:proofErr w:type="spellEnd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>ai</w:t>
      </w:r>
      <w:proofErr w:type="spellEnd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>raionului</w:t>
      </w:r>
      <w:proofErr w:type="spellEnd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</w:p>
    <w:p w:rsidR="007A51A9" w:rsidRPr="009F2140" w:rsidRDefault="007A51A9" w:rsidP="009F2140">
      <w:pPr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5.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Modul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încorporare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gram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a</w:t>
      </w:r>
      <w:proofErr w:type="gram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actului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cadrul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normativ</w:t>
      </w:r>
      <w:proofErr w:type="spellEnd"/>
    </w:p>
    <w:p w:rsidR="007A51A9" w:rsidRPr="009F2140" w:rsidRDefault="007A51A9" w:rsidP="000439D9">
      <w:pPr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="006C7C78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a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fost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elaborat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conformitate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cu</w:t>
      </w:r>
      <w:r w:rsidR="006C7C78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art.43(1) b) al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nr.436-XVI din 28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decembrie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2006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administra</w:t>
      </w:r>
      <w:r w:rsidRPr="009F2140">
        <w:rPr>
          <w:rFonts w:ascii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ia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publică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locală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,</w:t>
      </w:r>
      <w:r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Legea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nr.397-XV din 16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octombrie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2003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finan</w:t>
      </w:r>
      <w:r w:rsidRPr="009F2140">
        <w:rPr>
          <w:rFonts w:ascii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ele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publice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locale</w:t>
      </w:r>
    </w:p>
    <w:p w:rsidR="007A51A9" w:rsidRPr="009F2140" w:rsidRDefault="007A51A9" w:rsidP="007E03C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gram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6.Avizarea</w:t>
      </w:r>
      <w:proofErr w:type="gram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cs="Times New Roman"/>
          <w:b/>
          <w:sz w:val="24"/>
          <w:szCs w:val="24"/>
          <w:lang w:val="en-US"/>
        </w:rPr>
        <w:t>ș</w:t>
      </w:r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consultarea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publică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proiectului</w:t>
      </w:r>
      <w:proofErr w:type="spellEnd"/>
    </w:p>
    <w:p w:rsidR="007A51A9" w:rsidRPr="009F2140" w:rsidRDefault="007A51A9" w:rsidP="000439D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scopul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respectării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prevederii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</w:t>
      </w:r>
      <w:proofErr w:type="gram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239 din 13.11.2008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transparen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procesul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decizional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 100 din 22.12.2017 cu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actele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normative,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anun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cu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ini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ierea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elaborării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proiectului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precum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anun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cu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consultări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publice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inclusiv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cu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toate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explica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rigoare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fost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plasate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pagina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web </w:t>
      </w:r>
      <w:hyperlink r:id="rId5" w:history="1">
        <w:r w:rsidRPr="009F2140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www.crungheni.md</w:t>
        </w:r>
      </w:hyperlink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Consiliului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raional</w:t>
      </w:r>
      <w:proofErr w:type="spellEnd"/>
      <w:r w:rsidR="00693E51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693E51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Ungheni</w:t>
      </w:r>
      <w:proofErr w:type="spellEnd"/>
      <w:r w:rsidR="00693E51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693E51" w:rsidRPr="009F2140" w:rsidRDefault="00693E51" w:rsidP="007E03C9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prezintă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comisiilor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specialitate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pentru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avizare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pentru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se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propune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Consiliului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raional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pentru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examinare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adoptare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edin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ă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7E03C9" w:rsidRPr="009F2140" w:rsidRDefault="007E03C9" w:rsidP="007E03C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7.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Constatările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expertizei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juridice</w:t>
      </w:r>
      <w:proofErr w:type="spellEnd"/>
    </w:p>
    <w:p w:rsidR="007E03C9" w:rsidRPr="009F2140" w:rsidRDefault="007E03C9" w:rsidP="007E03C9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proofErr w:type="gram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0439D9" w:rsidRPr="00CA37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proofErr w:type="gram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Cu </w:t>
      </w:r>
      <w:proofErr w:type="spellStart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privire</w:t>
      </w:r>
      <w:proofErr w:type="spell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la </w:t>
      </w:r>
      <w:proofErr w:type="spellStart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aplicarea</w:t>
      </w:r>
      <w:proofErr w:type="spell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proiectului</w:t>
      </w:r>
      <w:proofErr w:type="spell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cadrul</w:t>
      </w:r>
      <w:proofErr w:type="spell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Programului</w:t>
      </w:r>
      <w:proofErr w:type="spell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Europe</w:t>
      </w:r>
      <w:r w:rsidR="000439D9" w:rsidRPr="00CA379A">
        <w:rPr>
          <w:rFonts w:ascii="Times New Roman" w:hAnsi="Times New Roman" w:cs="Times New Roman"/>
          <w:bCs/>
          <w:sz w:val="24"/>
          <w:szCs w:val="24"/>
          <w:lang w:val="en-US"/>
        </w:rPr>
        <w:t>”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corespunde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normelor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legale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7E03C9" w:rsidRPr="009F2140" w:rsidRDefault="007E03C9" w:rsidP="007E03C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>8</w:t>
      </w:r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Impactul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proiectului</w:t>
      </w:r>
      <w:proofErr w:type="spellEnd"/>
    </w:p>
    <w:p w:rsidR="007E03C9" w:rsidRPr="009F2140" w:rsidRDefault="007E03C9" w:rsidP="007E03C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F2140">
        <w:rPr>
          <w:rFonts w:ascii="Times New Roman" w:hAnsi="Times New Roman" w:cs="Times New Roman"/>
          <w:sz w:val="24"/>
          <w:szCs w:val="24"/>
          <w:lang w:val="ro-RO"/>
        </w:rPr>
        <w:t xml:space="preserve">Impactul pe termen lung al proiectului va consta în </w:t>
      </w:r>
      <w:r w:rsidR="000439D9">
        <w:rPr>
          <w:rFonts w:ascii="Times New Roman" w:hAnsi="Times New Roman" w:cs="Times New Roman"/>
          <w:sz w:val="24"/>
          <w:szCs w:val="24"/>
          <w:lang w:val="ro-RO"/>
        </w:rPr>
        <w:t xml:space="preserve">atragerea și valorificarea investițiilor Uniunii Europene în raionul Ungheni și </w:t>
      </w:r>
      <w:proofErr w:type="spellStart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>îmbunătăţirea</w:t>
      </w:r>
      <w:proofErr w:type="spellEnd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>instrumentului</w:t>
      </w:r>
      <w:proofErr w:type="spellEnd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>politică</w:t>
      </w:r>
      <w:proofErr w:type="spellEnd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>planificare</w:t>
      </w:r>
      <w:proofErr w:type="spellEnd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>strategic</w:t>
      </w:r>
      <w:r w:rsidR="0082212D">
        <w:rPr>
          <w:rFonts w:ascii="Times New Roman" w:hAnsi="Times New Roman" w:cs="Times New Roman"/>
          <w:sz w:val="24"/>
          <w:szCs w:val="24"/>
          <w:lang w:val="en-US"/>
        </w:rPr>
        <w:t>ă</w:t>
      </w:r>
      <w:proofErr w:type="spellEnd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>cât</w:t>
      </w:r>
      <w:proofErr w:type="spellEnd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>crearea</w:t>
      </w:r>
      <w:proofErr w:type="spellEnd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>mediului</w:t>
      </w:r>
      <w:proofErr w:type="spellEnd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>propice</w:t>
      </w:r>
      <w:proofErr w:type="spellEnd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>integrarea</w:t>
      </w:r>
      <w:proofErr w:type="spellEnd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>migrantilor</w:t>
      </w:r>
      <w:proofErr w:type="spellEnd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>cîmpul</w:t>
      </w:r>
      <w:proofErr w:type="spellEnd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>muncii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beneficiarii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finali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cetăţenii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locuitori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ai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raionului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82212D">
        <w:rPr>
          <w:rFonts w:ascii="Times New Roman" w:hAnsi="Times New Roman" w:cs="Times New Roman"/>
          <w:sz w:val="24"/>
          <w:szCs w:val="24"/>
          <w:lang w:val="ro-RO"/>
        </w:rPr>
        <w:t>Dezvoltarea parteneriatelor transfrontaliere va contribui la sporirea oportunităților de accesare a fondurilor UE și dezvoltarea acțiunilor de dezvoltare durabilă a raionului Ungheni, cât și promovarea acestuia pe plan transnațional.</w:t>
      </w:r>
    </w:p>
    <w:p w:rsidR="007E6D3B" w:rsidRPr="007A51A9" w:rsidRDefault="007E6D3B" w:rsidP="007E03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</w:p>
    <w:p w:rsidR="007E03C9" w:rsidRPr="009F2140" w:rsidRDefault="007E03C9" w:rsidP="007E03C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 xml:space="preserve">Şef Centrul de Resurse </w:t>
      </w: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ab/>
        <w:t>Violeta PETRE</w:t>
      </w:r>
    </w:p>
    <w:p w:rsidR="007E03C9" w:rsidRPr="009F2140" w:rsidRDefault="007E03C9" w:rsidP="007E03C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>şi Atragere a Investiţiilor</w:t>
      </w:r>
    </w:p>
    <w:p w:rsidR="00F21AAF" w:rsidRPr="009F2140" w:rsidRDefault="00F21AAF" w:rsidP="00F21AAF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F21AAF" w:rsidRPr="009F2140" w:rsidSect="008E6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A297D"/>
    <w:multiLevelType w:val="hybridMultilevel"/>
    <w:tmpl w:val="C5886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9CA"/>
    <w:rsid w:val="00005627"/>
    <w:rsid w:val="000439D9"/>
    <w:rsid w:val="001C33B2"/>
    <w:rsid w:val="001D266C"/>
    <w:rsid w:val="0023753E"/>
    <w:rsid w:val="0038403D"/>
    <w:rsid w:val="003B4B1B"/>
    <w:rsid w:val="004B762B"/>
    <w:rsid w:val="005F1ADD"/>
    <w:rsid w:val="00693E51"/>
    <w:rsid w:val="006C7C78"/>
    <w:rsid w:val="006D5755"/>
    <w:rsid w:val="0071037B"/>
    <w:rsid w:val="00782FEE"/>
    <w:rsid w:val="007A51A9"/>
    <w:rsid w:val="007E03C9"/>
    <w:rsid w:val="007E6D3B"/>
    <w:rsid w:val="0082212D"/>
    <w:rsid w:val="008D55CB"/>
    <w:rsid w:val="008E6739"/>
    <w:rsid w:val="009029CA"/>
    <w:rsid w:val="009B6B24"/>
    <w:rsid w:val="009C0969"/>
    <w:rsid w:val="009C67AE"/>
    <w:rsid w:val="009D330D"/>
    <w:rsid w:val="009F2140"/>
    <w:rsid w:val="00AF4E0E"/>
    <w:rsid w:val="00B40A73"/>
    <w:rsid w:val="00BA37C1"/>
    <w:rsid w:val="00BC4DF8"/>
    <w:rsid w:val="00BC562F"/>
    <w:rsid w:val="00C005B6"/>
    <w:rsid w:val="00C502B5"/>
    <w:rsid w:val="00CA379A"/>
    <w:rsid w:val="00D731C3"/>
    <w:rsid w:val="00DC3F4D"/>
    <w:rsid w:val="00F21AAF"/>
    <w:rsid w:val="00F667E0"/>
    <w:rsid w:val="00FE3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73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21AAF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7A51A9"/>
    <w:rPr>
      <w:color w:val="0000FF" w:themeColor="hyperlink"/>
      <w:u w:val="single"/>
    </w:rPr>
  </w:style>
  <w:style w:type="character" w:customStyle="1" w:styleId="tlid-translation">
    <w:name w:val="tlid-translation"/>
    <w:basedOn w:val="Fontdeparagrafimplicit"/>
    <w:rsid w:val="007E03C9"/>
  </w:style>
  <w:style w:type="character" w:customStyle="1" w:styleId="rynqvb">
    <w:name w:val="rynqvb"/>
    <w:basedOn w:val="Fontdeparagrafimplicit"/>
    <w:rsid w:val="00CA379A"/>
  </w:style>
  <w:style w:type="character" w:customStyle="1" w:styleId="p-1">
    <w:name w:val="p-1"/>
    <w:basedOn w:val="Fontdeparagrafimplicit"/>
    <w:rsid w:val="003B4B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1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1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6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2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8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5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7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5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4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8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rungheni.m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</dc:creator>
  <cp:keywords/>
  <dc:description/>
  <cp:lastModifiedBy>User</cp:lastModifiedBy>
  <cp:revision>29</cp:revision>
  <dcterms:created xsi:type="dcterms:W3CDTF">2020-07-14T05:28:00Z</dcterms:created>
  <dcterms:modified xsi:type="dcterms:W3CDTF">2024-05-02T11:54:00Z</dcterms:modified>
</cp:coreProperties>
</file>